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B1B024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tbl>
      <w:tblPr>
        <w:tblStyle w:val="T2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739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Кому представляется: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Министерство культуры Республики Бурятия</w:t>
            </w:r>
          </w:p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16"/>
              </w:rPr>
              <w:t>наименование и адрес получателя</w:t>
            </w:r>
          </w:p>
          <w:p>
            <w:pPr>
              <w:rPr>
                <w:rFonts w:ascii="Times New Roman" w:hAnsi="Times New Roman"/>
                <w:b w:val="1"/>
                <w:sz w:val="20"/>
                <w:u w:val="single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>670000, ул. Ленина, д.30, г. Улан-Удэ, Республика Бурятия</w:t>
            </w:r>
          </w:p>
          <w:p>
            <w:pPr>
              <w:rPr>
                <w:rFonts w:ascii="Times New Roman" w:hAnsi="Times New Roman"/>
                <w:b w:val="1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 xml:space="preserve">Кем представляется: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Отделом по делам архивов администрации МО «Окинский район», 671030, ул.Школьная, д.18, с.Орлик, Окинский район, Республика Бурятия</w:t>
            </w:r>
          </w:p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393" w:type="dxa"/>
          </w:tcPr>
          <w:p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ПРИЛОЖЕНИЕ 6 </w:t>
            </w:r>
          </w:p>
          <w:p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Регламенту</w:t>
            </w:r>
          </w:p>
        </w:tc>
      </w:tr>
    </w:tbl>
    <w:p>
      <w:pPr>
        <w:spacing w:after="0" w:beforeAutospacing="0" w:afterAutospacing="0"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СВЕДЕНИЯ</w:t>
      </w:r>
    </w:p>
    <w:p>
      <w:pPr>
        <w:tabs>
          <w:tab w:val="left" w:pos="3360" w:leader="none"/>
          <w:tab w:val="center" w:pos="7285" w:leader="none"/>
        </w:tabs>
        <w:spacing w:after="0" w:beforeAutospacing="0" w:afterAutospacing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ab/>
        <w:tab/>
        <w:t xml:space="preserve">о состоянии хранения документов в учреждениях, организациях- </w:t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источниках комплектования Отдела по делам архивов администрации МО «Окинский район» </w:t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на 1 января 2024 года</w:t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sz w:val="20"/>
        </w:rPr>
      </w:pPr>
    </w:p>
    <w:p>
      <w:pPr>
        <w:pStyle w:val="P1"/>
        <w:numPr>
          <w:ilvl w:val="0"/>
          <w:numId w:val="1"/>
        </w:numPr>
        <w:spacing w:after="0" w:beforeAutospacing="0" w:afterAutospacing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Сведения об организациях, передающих в государственные, районные, </w:t>
      </w:r>
    </w:p>
    <w:p>
      <w:pPr>
        <w:pStyle w:val="P1"/>
        <w:spacing w:after="0" w:beforeAutospacing="0" w:afterAutospacing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городские архивы управленческую документацию</w:t>
      </w:r>
    </w:p>
    <w:tbl>
      <w:tblPr>
        <w:tblStyle w:val="T2"/>
        <w:tblW w:w="14731" w:type="dxa"/>
        <w:tblLook w:val="04A0"/>
      </w:tblPr>
      <w:tblGrid/>
      <w:tr>
        <w:tc>
          <w:tcPr>
            <w:tcW w:w="4644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851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строки</w:t>
            </w:r>
          </w:p>
        </w:tc>
        <w:tc>
          <w:tcPr>
            <w:tcW w:w="85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386" w:type="dxa"/>
            <w:gridSpan w:val="5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имеют</w:t>
            </w:r>
          </w:p>
        </w:tc>
      </w:tr>
      <w:tr>
        <w:tc>
          <w:tcPr>
            <w:tcW w:w="4644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96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Согласованные с архивными учреждениями</w:t>
            </w:r>
          </w:p>
        </w:tc>
        <w:tc>
          <w:tcPr>
            <w:tcW w:w="1641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Помещения для хранения документов</w:t>
            </w:r>
          </w:p>
        </w:tc>
        <w:tc>
          <w:tcPr>
            <w:tcW w:w="120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Штатных работников</w:t>
            </w:r>
          </w:p>
        </w:tc>
        <w:tc>
          <w:tcPr>
            <w:tcW w:w="1849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Полностью подготовили документы к передаче на пост.хранение (утвердили описи на ЭПК архивного учреждения)</w:t>
            </w:r>
          </w:p>
        </w:tc>
      </w:tr>
      <w:tr>
        <w:tc>
          <w:tcPr>
            <w:tcW w:w="4644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Номенклатуры дел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Инструкции по делопроизводству</w:t>
            </w:r>
          </w:p>
        </w:tc>
        <w:tc>
          <w:tcPr>
            <w:tcW w:w="164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Общее количество организаций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негосударственных организаций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организаций профиля комплектования госархивов (всего)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негосударственных организаций профиля комплектования госархивов  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организаций профиля комплектова-</w:t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ния районных, городских архивов (всего)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негосударственных организаций про- филя комплектования районных, городских архивов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объединенных ведомственных архивов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644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архивов по личному составу при администрациях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</w:rPr>
        <w:t>Примечание: 1. Сведения строк 107, 207 не включаются в сведения строк 101-106, 201-206</w:t>
      </w:r>
    </w:p>
    <w:p>
      <w:pPr>
        <w:pStyle w:val="P1"/>
        <w:numPr>
          <w:ilvl w:val="0"/>
          <w:numId w:val="1"/>
        </w:numPr>
        <w:spacing w:lineRule="auto" w:line="240" w:after="0" w:beforeAutospacing="0" w:afterAutospacing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 сведения строк 108,208 не включаются сведения об архивах документов по личному составу при администрациях, вошедших в систему ГАС</w:t>
      </w:r>
    </w:p>
    <w:p>
      <w:pPr>
        <w:pStyle w:val="P1"/>
        <w:numPr>
          <w:ilvl w:val="0"/>
          <w:numId w:val="2"/>
        </w:numPr>
        <w:spacing w:lineRule="auto" w:line="240" w:after="0" w:beforeAutospacing="0" w:afterAutospacing="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sz w:val="20"/>
        </w:rPr>
        <w:t>Сведения об управленческой документации</w:t>
        <w:tab/>
        <w:tab/>
        <w:tab/>
        <w:tab/>
        <w:tab/>
        <w:tab/>
        <w:tab/>
        <w:tab/>
        <w:t xml:space="preserve">    ПРИЛОЖЕНИЕ 6 к Регламенту (продолжение) 1)</w:t>
      </w:r>
    </w:p>
    <w:tbl>
      <w:tblPr>
        <w:tblStyle w:val="T2"/>
        <w:tblW w:w="14708" w:type="dxa"/>
        <w:tblLayout w:type="fixed"/>
        <w:tblLook w:val="04A0"/>
      </w:tblPr>
      <w:tblGrid/>
      <w:tr>
        <w:tc>
          <w:tcPr>
            <w:tcW w:w="4077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85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строки</w:t>
            </w:r>
          </w:p>
        </w:tc>
        <w:tc>
          <w:tcPr>
            <w:tcW w:w="6521" w:type="dxa"/>
            <w:gridSpan w:val="7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Документы постоянного хранения</w:t>
            </w:r>
          </w:p>
        </w:tc>
        <w:tc>
          <w:tcPr>
            <w:tcW w:w="2029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Документы по личному составу</w:t>
            </w:r>
          </w:p>
        </w:tc>
        <w:tc>
          <w:tcPr>
            <w:tcW w:w="1231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Образуется в год дел постоянного хранения</w:t>
            </w:r>
          </w:p>
        </w:tc>
      </w:tr>
      <w:tr>
        <w:tc>
          <w:tcPr>
            <w:tcW w:w="4077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 ед.хр.</w:t>
            </w:r>
          </w:p>
        </w:tc>
        <w:tc>
          <w:tcPr>
            <w:tcW w:w="1842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Крайние даты </w:t>
            </w:r>
          </w:p>
        </w:tc>
        <w:tc>
          <w:tcPr>
            <w:tcW w:w="993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внесены в описи, утв.ЭПК арх.учр.</w:t>
            </w: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Крайние даты</w:t>
            </w:r>
          </w:p>
        </w:tc>
        <w:tc>
          <w:tcPr>
            <w:tcW w:w="1134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Хранятся сверх установл.</w:t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срока</w:t>
            </w:r>
          </w:p>
        </w:tc>
        <w:tc>
          <w:tcPr>
            <w:tcW w:w="85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 ед.хр.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внесены в описи, согласо</w:t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ванные ЭПК</w:t>
            </w:r>
          </w:p>
        </w:tc>
        <w:tc>
          <w:tcPr>
            <w:tcW w:w="123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077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</w:t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ная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</w:t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ная</w:t>
            </w:r>
          </w:p>
        </w:tc>
        <w:tc>
          <w:tcPr>
            <w:tcW w:w="993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</w:t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ная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</w:t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ная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07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 всех организациях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2397</w:t>
            </w: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2397</w:t>
            </w: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негосударственных организациях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организациях профиля комплектования госархивов (всего)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негосударственных организациях профиля комплектования госархивов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организациях профиля комплектования районных, городских архивов (всего)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2397</w:t>
            </w: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2397</w:t>
            </w: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негосударственных организациях профиля комплектования районных, городских архивов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объединённых ведомственных архивах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077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архивах документов по личному составу при администрациях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0"/>
        </w:rPr>
      </w:pPr>
    </w:p>
    <w:p>
      <w:pPr>
        <w:pStyle w:val="P1"/>
        <w:numPr>
          <w:ilvl w:val="0"/>
          <w:numId w:val="2"/>
        </w:numPr>
        <w:spacing w:lineRule="auto" w:line="240" w:after="0" w:beforeAutospacing="0" w:afterAutospacing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Сведения об организациях – источниках комплектования государственных, </w:t>
      </w:r>
    </w:p>
    <w:p>
      <w:pPr>
        <w:pStyle w:val="P1"/>
        <w:spacing w:lineRule="auto" w:line="240" w:after="0" w:beforeAutospacing="0" w:afterAutospacing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районных, городских архивов научно-технической документацией</w:t>
      </w:r>
    </w:p>
    <w:tbl>
      <w:tblPr>
        <w:tblStyle w:val="T2"/>
        <w:tblW w:w="0" w:type="auto"/>
        <w:tblLook w:val="04A0"/>
      </w:tblPr>
      <w:tblGrid/>
      <w:tr>
        <w:tc>
          <w:tcPr>
            <w:tcW w:w="1232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1232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строки</w:t>
            </w:r>
          </w:p>
        </w:tc>
        <w:tc>
          <w:tcPr>
            <w:tcW w:w="3471" w:type="dxa"/>
            <w:gridSpan w:val="3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организаций</w:t>
            </w:r>
          </w:p>
        </w:tc>
        <w:tc>
          <w:tcPr>
            <w:tcW w:w="8626" w:type="dxa"/>
            <w:gridSpan w:val="7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единиц хранения (томов, папок)*</w:t>
            </w:r>
          </w:p>
        </w:tc>
      </w:tr>
      <w:tr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</w:t>
            </w:r>
          </w:p>
        </w:tc>
        <w:tc>
          <w:tcPr>
            <w:tcW w:w="1007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Имеющ. помеще- ния для хранения док-тов</w:t>
            </w:r>
          </w:p>
        </w:tc>
        <w:tc>
          <w:tcPr>
            <w:tcW w:w="1232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Имеющих штатных работников архива</w:t>
            </w:r>
          </w:p>
        </w:tc>
        <w:tc>
          <w:tcPr>
            <w:tcW w:w="1232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</w:t>
            </w:r>
          </w:p>
        </w:tc>
        <w:tc>
          <w:tcPr>
            <w:tcW w:w="2464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Крайние даты</w:t>
            </w:r>
          </w:p>
        </w:tc>
        <w:tc>
          <w:tcPr>
            <w:tcW w:w="1232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внесено в описи, утв. ЭПК арх.учр.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Крайние даты</w:t>
            </w:r>
          </w:p>
        </w:tc>
        <w:tc>
          <w:tcPr>
            <w:tcW w:w="1233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Хранятся сверх установл. срока</w:t>
            </w:r>
          </w:p>
        </w:tc>
      </w:tr>
      <w:tr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7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начальная</w:t>
            </w: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конечная</w:t>
            </w:r>
          </w:p>
        </w:tc>
        <w:tc>
          <w:tcPr>
            <w:tcW w:w="123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начальная</w:t>
            </w:r>
          </w:p>
        </w:tc>
        <w:tc>
          <w:tcPr>
            <w:tcW w:w="123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конечная</w:t>
            </w:r>
          </w:p>
        </w:tc>
        <w:tc>
          <w:tcPr>
            <w:tcW w:w="1233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</w:t>
            </w: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Организация </w:t>
            </w: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</w:t>
            </w: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негосударственные организации</w:t>
            </w: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302</w:t>
            </w: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0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*Объём листов чертежей, не помещённых в папке, даётся в условных папках из расчёта: 50 листов формата А4=1 папка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0"/>
        </w:rPr>
      </w:pPr>
    </w:p>
    <w:p>
      <w:pPr>
        <w:pStyle w:val="P1"/>
        <w:numPr>
          <w:ilvl w:val="0"/>
          <w:numId w:val="2"/>
        </w:numPr>
        <w:spacing w:lineRule="auto" w:line="240" w:after="0" w:beforeAutospacing="0" w:afterAutospacing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Сведения о кинофотодокументах</w:t>
      </w:r>
    </w:p>
    <w:tbl>
      <w:tblPr>
        <w:tblStyle w:val="T2"/>
        <w:tblW w:w="14641" w:type="dxa"/>
        <w:tblLayout w:type="fixed"/>
        <w:tblLook w:val="04A0"/>
      </w:tblPr>
      <w:tblGrid/>
      <w:tr>
        <w:tc>
          <w:tcPr>
            <w:tcW w:w="4503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Виды организаций</w:t>
            </w:r>
          </w:p>
        </w:tc>
        <w:tc>
          <w:tcPr>
            <w:tcW w:w="851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строки</w:t>
            </w:r>
          </w:p>
        </w:tc>
        <w:tc>
          <w:tcPr>
            <w:tcW w:w="2977" w:type="dxa"/>
            <w:gridSpan w:val="3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организаций, состоящих на учёте архивных учреждений</w:t>
            </w:r>
          </w:p>
        </w:tc>
        <w:tc>
          <w:tcPr>
            <w:tcW w:w="6310" w:type="dxa"/>
            <w:gridSpan w:val="7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единиц хранения</w:t>
            </w:r>
          </w:p>
        </w:tc>
      </w:tr>
      <w:tr>
        <w:tc>
          <w:tcPr>
            <w:tcW w:w="4503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Их них имеют</w:t>
            </w:r>
          </w:p>
        </w:tc>
        <w:tc>
          <w:tcPr>
            <w:tcW w:w="806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1887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Крайние даты</w:t>
            </w:r>
          </w:p>
        </w:tc>
        <w:tc>
          <w:tcPr>
            <w:tcW w:w="2410" w:type="dxa"/>
            <w:gridSpan w:val="3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внесено в описи, утв.ЭПК архивного учреждения</w:t>
            </w:r>
          </w:p>
        </w:tc>
        <w:tc>
          <w:tcPr>
            <w:tcW w:w="1207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Хранится сверх установленного срока</w:t>
            </w:r>
          </w:p>
        </w:tc>
      </w:tr>
      <w:tr>
        <w:tc>
          <w:tcPr>
            <w:tcW w:w="4503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Помещения для хранения док-тов</w:t>
            </w:r>
          </w:p>
        </w:tc>
        <w:tc>
          <w:tcPr>
            <w:tcW w:w="897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Штат ных работ ников</w:t>
            </w:r>
          </w:p>
        </w:tc>
        <w:tc>
          <w:tcPr>
            <w:tcW w:w="806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начальная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 ная</w:t>
            </w:r>
          </w:p>
        </w:tc>
        <w:tc>
          <w:tcPr>
            <w:tcW w:w="743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</w:t>
            </w:r>
          </w:p>
        </w:tc>
        <w:tc>
          <w:tcPr>
            <w:tcW w:w="1667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Крайние даты</w:t>
            </w:r>
          </w:p>
        </w:tc>
        <w:tc>
          <w:tcPr>
            <w:tcW w:w="1207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начальная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 ная</w:t>
            </w:r>
          </w:p>
        </w:tc>
        <w:tc>
          <w:tcPr>
            <w:tcW w:w="1207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Организации, хранящие кинодокументы (всего)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Негосударственные организации, хранящие кинодокументы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Организации, хранящие фотодокументы (всего)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403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Негосударственные организации, хранящие фотодокументы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Организации, хранящие фонодокументы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Негосударственные организации, хранящие фонодокументы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406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Организации, хранящие видеозаписи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503" w:type="dxa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Негосударственные организации, хранящие видеозаписи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>
      <w:pPr>
        <w:pStyle w:val="P1"/>
        <w:numPr>
          <w:ilvl w:val="0"/>
          <w:numId w:val="2"/>
        </w:numPr>
        <w:spacing w:lineRule="auto" w:line="240" w:after="0" w:beforeAutospacing="0" w:afterAutospacing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Сведения об организациях, хранящих документы отраслевых фондов*</w:t>
      </w:r>
    </w:p>
    <w:tbl>
      <w:tblPr>
        <w:tblStyle w:val="T2"/>
        <w:tblW w:w="0" w:type="auto"/>
        <w:tblLayout w:type="fixed"/>
        <w:tblLook w:val="04A0"/>
      </w:tblPr>
      <w:tblGrid/>
      <w:tr>
        <w:tc>
          <w:tcPr>
            <w:tcW w:w="118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строки</w:t>
            </w:r>
          </w:p>
        </w:tc>
        <w:tc>
          <w:tcPr>
            <w:tcW w:w="3623" w:type="dxa"/>
            <w:gridSpan w:val="3"/>
            <w:tcBorders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организаций</w:t>
            </w:r>
          </w:p>
        </w:tc>
        <w:tc>
          <w:tcPr>
            <w:tcW w:w="408" w:type="dxa"/>
            <w:tcBorders>
              <w:top w:val="nil"/>
              <w:left w:val="single" w:sz="4" w:space="0" w:shadow="0" w:frame="0" w:color="auto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Показатели </w:t>
            </w:r>
          </w:p>
        </w:tc>
        <w:tc>
          <w:tcPr>
            <w:tcW w:w="848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строки</w:t>
            </w:r>
          </w:p>
        </w:tc>
        <w:tc>
          <w:tcPr>
            <w:tcW w:w="5245" w:type="dxa"/>
            <w:gridSpan w:val="6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единиц хранения</w:t>
            </w:r>
          </w:p>
        </w:tc>
      </w:tr>
      <w:tr>
        <w:tc>
          <w:tcPr>
            <w:tcW w:w="118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4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2459" w:type="dxa"/>
            <w:gridSpan w:val="2"/>
            <w:tcBorders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имеют</w:t>
            </w:r>
          </w:p>
        </w:tc>
        <w:tc>
          <w:tcPr>
            <w:tcW w:w="408" w:type="dxa"/>
            <w:tcBorders>
              <w:top w:val="nil"/>
              <w:left w:val="single" w:sz="4" w:space="0" w:shadow="0" w:frame="0" w:color="auto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vMerge w:val="continue"/>
            <w:tcBorders>
              <w:lef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48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Крайние даты</w:t>
            </w:r>
          </w:p>
        </w:tc>
        <w:tc>
          <w:tcPr>
            <w:tcW w:w="1109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внесено в описи, книги учёта и описания</w:t>
            </w:r>
          </w:p>
        </w:tc>
        <w:tc>
          <w:tcPr>
            <w:tcW w:w="1726" w:type="dxa"/>
            <w:gridSpan w:val="2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Крайние даты</w:t>
            </w:r>
          </w:p>
        </w:tc>
      </w:tr>
      <w:tr>
        <w:tc>
          <w:tcPr>
            <w:tcW w:w="1180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4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Помещения для хранения док-тов</w:t>
            </w:r>
          </w:p>
        </w:tc>
        <w:tc>
          <w:tcPr>
            <w:tcW w:w="1228" w:type="dxa"/>
            <w:tcBorders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Штатных работников</w:t>
            </w:r>
          </w:p>
        </w:tc>
        <w:tc>
          <w:tcPr>
            <w:tcW w:w="408" w:type="dxa"/>
            <w:tcBorders>
              <w:top w:val="nil"/>
              <w:left w:val="single" w:sz="4" w:space="0" w:shadow="0" w:frame="0" w:color="auto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vMerge w:val="continue"/>
            <w:tcBorders>
              <w:lef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48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начальная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 ная</w:t>
            </w:r>
          </w:p>
        </w:tc>
        <w:tc>
          <w:tcPr>
            <w:tcW w:w="1109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начальная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конеч ная</w:t>
            </w:r>
          </w:p>
        </w:tc>
      </w:tr>
      <w:tr>
        <w:tc>
          <w:tcPr>
            <w:tcW w:w="118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1164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3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28" w:type="dxa"/>
            <w:tcBorders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08" w:type="dxa"/>
            <w:tcBorders>
              <w:top w:val="nil"/>
              <w:left w:val="single" w:sz="4" w:space="0" w:shadow="0" w:frame="0" w:color="auto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09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c>
          <w:tcPr>
            <w:tcW w:w="1180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501</w:t>
            </w:r>
          </w:p>
        </w:tc>
        <w:tc>
          <w:tcPr>
            <w:tcW w:w="1164" w:type="dxa"/>
            <w:vMerge w:val="restart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  <w:vMerge w:val="restart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28" w:type="dxa"/>
            <w:vMerge w:val="restart"/>
            <w:tcBorders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shadow="0" w:frame="0" w:color="auto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Научно-техническая документация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1180" w:type="dxa"/>
            <w:vMerge w:val="continue"/>
            <w:tcBorders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4" w:type="dxa"/>
            <w:vMerge w:val="continue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31" w:type="dxa"/>
            <w:vMerge w:val="continue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28" w:type="dxa"/>
            <w:vMerge w:val="continue"/>
            <w:tcBorders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shadow="0" w:frame="0" w:color="auto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Кинодокументы 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803" w:type="dxa"/>
            <w:gridSpan w:val="4"/>
            <w:vMerge w:val="restart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«___» ___________ 2023 г.</w:t>
            </w:r>
          </w:p>
          <w:p>
            <w:pPr>
              <w:rPr>
                <w:rFonts w:ascii="Times New Roman" w:hAnsi="Times New Roman"/>
                <w:sz w:val="20"/>
              </w:rPr>
            </w:pP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 по делам</w:t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архивов администрации                                                        МО «Окинский район»                      /Е.П. Цыбикова/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Фотодокументы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803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Фонодокументы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505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09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803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shadow="0" w:frame="0" w:color="auto"/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Видеозаписи</w:t>
            </w:r>
          </w:p>
        </w:tc>
        <w:tc>
          <w:tcPr>
            <w:tcW w:w="848" w:type="dxa"/>
            <w:tcBorders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506</w:t>
            </w:r>
          </w:p>
        </w:tc>
        <w:tc>
          <w:tcPr>
            <w:tcW w:w="709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09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20"/>
        </w:trPr>
        <w:tc>
          <w:tcPr>
            <w:tcW w:w="4803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shadow="0" w:frame="0" w:color="auto"/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Документы на машинных носителях</w:t>
            </w:r>
          </w:p>
        </w:tc>
        <w:tc>
          <w:tcPr>
            <w:tcW w:w="848" w:type="dxa"/>
            <w:tcBorders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507</w:t>
            </w:r>
          </w:p>
        </w:tc>
        <w:tc>
          <w:tcPr>
            <w:tcW w:w="709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09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shadow="0" w:frame="0" w:color="auto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48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48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shadow="0" w:frame="0" w:color="auto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/>
                <w:sz w:val="20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0"/>
        </w:rPr>
      </w:pPr>
    </w:p>
    <w:sectPr>
      <w:type w:val="nextPage"/>
      <w:pgSz w:w="16838" w:h="11906" w:code="9" w:orient="landscape"/>
      <w:pgMar w:left="1134" w:right="1134" w:top="1134" w:bottom="98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19D0D33"/>
    <w:multiLevelType w:val="hybridMultilevel"/>
    <w:lvl w:ilvl="0" w:tplc="11D8DCDC">
      <w:start w:val="2"/>
      <w:numFmt w:val="decimal"/>
      <w:suff w:val="tab"/>
      <w:lvlText w:val="%1."/>
      <w:lvlJc w:val="left"/>
      <w:pPr>
        <w:ind w:hanging="360" w:left="720"/>
      </w:pPr>
      <w:rPr>
        <w:b w:val="1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22C8787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Balloon Text"/>
    <w:basedOn w:val="P0"/>
    <w:link w:val="C3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выноски Знак"/>
    <w:basedOn w:val="C0"/>
    <w:link w:val="P2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