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8F4ED9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67945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5.35pt" to="473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F4Rf3TfAAAACAEAAA8AAABkcnMvZG93bnJldi54bWxMj0FP&#10;wkAQhe8m/ofNmHghsFUJlNotMUQvHkwAD3BbumPb2J0tuwut/nqHeNDjvPfy5nv5crCtOKMPjSMF&#10;d5MEBFLpTEOVgvftyzgFEaImo1tHqOALAyyL66tcZ8b1tMbzJlaCSyhkWkEdY5dJGcoarQ4T1yGx&#10;9+G81ZFPX0njdc/ltpX3STKTVjfEH2rd4arG8nNzsgrMOoTn1ZB+P7z51+Nxl472/Xak1O3N8PQI&#10;IuIQ/8JwwWd0KJjp4E5kgmgVjKczTrKezEGwv5jOFyAOv4Iscvl/QPED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XhF/dN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6E0AF9" w:rsidRDefault="007956BF" w:rsidP="006E0AF9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6E0AF9">
        <w:rPr>
          <w:b/>
          <w:sz w:val="28"/>
          <w:szCs w:val="28"/>
        </w:rPr>
        <w:t xml:space="preserve"> </w:t>
      </w:r>
    </w:p>
    <w:p w:rsidR="006E0AF9" w:rsidRPr="006E0AF9" w:rsidRDefault="006E0AF9" w:rsidP="006E0AF9">
      <w:pPr>
        <w:jc w:val="center"/>
        <w:rPr>
          <w:b/>
          <w:sz w:val="16"/>
          <w:szCs w:val="16"/>
        </w:rPr>
      </w:pPr>
    </w:p>
    <w:p w:rsidR="008F4ED9" w:rsidRPr="006E0AF9" w:rsidRDefault="008F4ED9" w:rsidP="006E0AF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цены на заготовку и вывозку дров </w:t>
      </w:r>
    </w:p>
    <w:p w:rsidR="008F4ED9" w:rsidRDefault="008F4ED9" w:rsidP="006E0A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учреждений</w:t>
      </w:r>
      <w:r>
        <w:rPr>
          <w:b/>
          <w:bCs/>
          <w:sz w:val="16"/>
          <w:szCs w:val="16"/>
        </w:rPr>
        <w:t xml:space="preserve"> </w:t>
      </w:r>
      <w:r>
        <w:rPr>
          <w:b/>
          <w:bCs/>
          <w:sz w:val="28"/>
          <w:szCs w:val="28"/>
        </w:rPr>
        <w:t>бюджетной сферы</w:t>
      </w:r>
      <w:r w:rsidRPr="005139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«Окинский район» на 2016 год</w:t>
      </w:r>
    </w:p>
    <w:p w:rsidR="007956BF" w:rsidRPr="006E0AF9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8F4ED9" w:rsidRPr="00282A91" w:rsidRDefault="008F4ED9" w:rsidP="008F4ED9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со статьей 17 Федерального закона № 131-ФЗ               «Об общих принципах организации местного самоуправления                             в Российской Федерации», статьей 21 Устава муниципального образования «Окинский район» С</w:t>
      </w:r>
      <w:r w:rsidRPr="00775A06">
        <w:rPr>
          <w:bCs/>
          <w:sz w:val="28"/>
          <w:szCs w:val="28"/>
        </w:rPr>
        <w:t xml:space="preserve">овет депутатов муниципального образования </w:t>
      </w:r>
      <w:r>
        <w:rPr>
          <w:bCs/>
          <w:sz w:val="28"/>
          <w:szCs w:val="28"/>
        </w:rPr>
        <w:t xml:space="preserve">       </w:t>
      </w:r>
      <w:r w:rsidRPr="00775A06">
        <w:rPr>
          <w:bCs/>
          <w:sz w:val="28"/>
          <w:szCs w:val="28"/>
        </w:rPr>
        <w:t xml:space="preserve">«Окинский район» </w:t>
      </w:r>
      <w:r w:rsidRPr="00775A06">
        <w:rPr>
          <w:b/>
          <w:bCs/>
          <w:sz w:val="28"/>
          <w:szCs w:val="28"/>
        </w:rPr>
        <w:t>решил:</w:t>
      </w:r>
    </w:p>
    <w:p w:rsidR="008F4ED9" w:rsidRPr="00147235" w:rsidRDefault="008F4ED9" w:rsidP="008F4ED9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цену на заготовку и вывозку дров для учреждений бюджетной сферы муниципального образования «Окинский район»                 на 2016 год согласно приложению</w:t>
      </w:r>
      <w:r w:rsidRPr="009216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 настоящему Решению.</w:t>
      </w:r>
    </w:p>
    <w:p w:rsidR="007956BF" w:rsidRPr="007956BF" w:rsidRDefault="008F4ED9" w:rsidP="00F6752E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147235">
        <w:rPr>
          <w:bCs/>
          <w:sz w:val="28"/>
          <w:szCs w:val="28"/>
        </w:rPr>
        <w:t>2</w:t>
      </w:r>
      <w:r w:rsidR="00F6752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Настоящее Решение вступает в силу со дня его официального опубликования</w:t>
      </w:r>
      <w:r w:rsidR="00F6752E">
        <w:rPr>
          <w:bCs/>
          <w:sz w:val="28"/>
          <w:szCs w:val="28"/>
        </w:rPr>
        <w:t>.</w:t>
      </w:r>
    </w:p>
    <w:p w:rsidR="008F4ED9" w:rsidRDefault="008F4ED9" w:rsidP="007956BF">
      <w:pPr>
        <w:rPr>
          <w:b/>
          <w:sz w:val="27"/>
          <w:szCs w:val="27"/>
        </w:rPr>
      </w:pPr>
    </w:p>
    <w:p w:rsidR="008F4ED9" w:rsidRDefault="008F4ED9" w:rsidP="007956BF">
      <w:pPr>
        <w:rPr>
          <w:b/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8F4ED9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                                 Б.Д. Балданов</w:t>
      </w:r>
    </w:p>
    <w:p w:rsidR="001119E0" w:rsidRDefault="001119E0" w:rsidP="007956BF">
      <w:pPr>
        <w:rPr>
          <w:b/>
          <w:sz w:val="27"/>
          <w:szCs w:val="27"/>
        </w:rPr>
      </w:pPr>
    </w:p>
    <w:p w:rsidR="001119E0" w:rsidRPr="001119E0" w:rsidRDefault="001119E0" w:rsidP="007956BF">
      <w:pPr>
        <w:rPr>
          <w:b/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870392" w:rsidP="007956BF">
      <w:pPr>
        <w:rPr>
          <w:sz w:val="27"/>
          <w:szCs w:val="27"/>
        </w:rPr>
        <w:sectPr w:rsidR="007956BF" w:rsidRPr="007956BF" w:rsidSect="00CE5B73">
          <w:footerReference w:type="even" r:id="rId8"/>
          <w:pgSz w:w="11906" w:h="16838"/>
          <w:pgMar w:top="1134" w:right="1021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 xml:space="preserve">№ </w:t>
      </w:r>
      <w:r w:rsidR="009B03FD">
        <w:rPr>
          <w:sz w:val="27"/>
          <w:szCs w:val="27"/>
        </w:rPr>
        <w:t>50</w:t>
      </w:r>
      <w:r>
        <w:rPr>
          <w:sz w:val="27"/>
          <w:szCs w:val="27"/>
        </w:rPr>
        <w:t xml:space="preserve"> - 2015</w:t>
      </w:r>
    </w:p>
    <w:p w:rsidR="001119E0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 xml:space="preserve">Приложение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к Решению </w:t>
      </w:r>
      <w:bookmarkStart w:id="0" w:name="_GoBack"/>
      <w:bookmarkEnd w:id="0"/>
      <w:r w:rsidRPr="007956BF">
        <w:rPr>
          <w:rFonts w:cs="Myriad Pro"/>
          <w:i/>
          <w:iCs/>
          <w:color w:val="000000"/>
          <w:szCs w:val="19"/>
        </w:rPr>
        <w:t>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7956BF" w:rsidRPr="007956BF" w:rsidRDefault="009B03FD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50</w:t>
      </w:r>
      <w:r w:rsidR="007648E8">
        <w:rPr>
          <w:rFonts w:cs="Myriad Pro"/>
          <w:i/>
          <w:iCs/>
          <w:color w:val="000000"/>
          <w:szCs w:val="19"/>
        </w:rPr>
        <w:t xml:space="preserve">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7956BF" w:rsidRPr="007956BF" w:rsidRDefault="007956BF" w:rsidP="007956BF">
      <w:pPr>
        <w:rPr>
          <w:sz w:val="27"/>
          <w:szCs w:val="27"/>
        </w:rPr>
      </w:pPr>
    </w:p>
    <w:p w:rsidR="008F4ED9" w:rsidRPr="008F4ED9" w:rsidRDefault="008F4ED9" w:rsidP="008F4ED9">
      <w:pPr>
        <w:pStyle w:val="a9"/>
        <w:rPr>
          <w:sz w:val="28"/>
          <w:szCs w:val="28"/>
        </w:rPr>
      </w:pPr>
      <w:r w:rsidRPr="008F4ED9">
        <w:rPr>
          <w:sz w:val="28"/>
          <w:szCs w:val="28"/>
        </w:rPr>
        <w:t xml:space="preserve">Цена на заготовку и вывозку дров </w:t>
      </w:r>
    </w:p>
    <w:p w:rsidR="008F4ED9" w:rsidRPr="008F4ED9" w:rsidRDefault="008F4ED9" w:rsidP="008F4ED9">
      <w:pPr>
        <w:pStyle w:val="a9"/>
        <w:rPr>
          <w:sz w:val="28"/>
          <w:szCs w:val="28"/>
        </w:rPr>
      </w:pPr>
      <w:r w:rsidRPr="008F4ED9">
        <w:rPr>
          <w:sz w:val="28"/>
          <w:szCs w:val="28"/>
        </w:rPr>
        <w:t xml:space="preserve">для учреждений бюджетной сферы </w:t>
      </w:r>
    </w:p>
    <w:p w:rsidR="008F4ED9" w:rsidRPr="008F4ED9" w:rsidRDefault="008F4ED9" w:rsidP="008F4ED9">
      <w:pPr>
        <w:pStyle w:val="a9"/>
        <w:rPr>
          <w:sz w:val="28"/>
          <w:szCs w:val="28"/>
        </w:rPr>
      </w:pPr>
      <w:r w:rsidRPr="008F4ED9">
        <w:rPr>
          <w:sz w:val="28"/>
          <w:szCs w:val="28"/>
        </w:rPr>
        <w:t>муниципального образования « Окинский район» на 2016 год</w:t>
      </w:r>
    </w:p>
    <w:p w:rsidR="008F4ED9" w:rsidRDefault="008F4ED9" w:rsidP="008F4ED9">
      <w:pPr>
        <w:pStyle w:val="a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6091"/>
        <w:gridCol w:w="2557"/>
      </w:tblGrid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№ п./п.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Статьи затрат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 xml:space="preserve">Плановая себестоимость, руб. за </w:t>
            </w:r>
            <w:proofErr w:type="gramStart"/>
            <w:r w:rsidRPr="000C7522">
              <w:rPr>
                <w:b/>
                <w:bCs/>
              </w:rPr>
              <w:t>плотный</w:t>
            </w:r>
            <w:proofErr w:type="gramEnd"/>
            <w:r w:rsidRPr="000C7522">
              <w:rPr>
                <w:b/>
                <w:bCs/>
              </w:rPr>
              <w:t xml:space="preserve"> м3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Себестоимость заготовки дров, в т.ч.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1.1.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Заработная плата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462,87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1.2.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Отчисления (30,2%)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139,79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1.3.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ГСМ</w:t>
            </w:r>
          </w:p>
        </w:tc>
        <w:tc>
          <w:tcPr>
            <w:tcW w:w="2557" w:type="dxa"/>
          </w:tcPr>
          <w:p w:rsidR="008F4ED9" w:rsidRPr="002A42E9" w:rsidRDefault="008F4ED9" w:rsidP="0083530B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61</w:t>
            </w:r>
            <w:r>
              <w:rPr>
                <w:bCs/>
              </w:rPr>
              <w:t>,12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1.4.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 xml:space="preserve">Расходы на содержание и эксплуатацию оборудования 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14,52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1.5.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НДС (18%)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>
              <w:rPr>
                <w:bCs/>
              </w:rPr>
              <w:t>122,09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1.6.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Прибыль (5%)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>
              <w:rPr>
                <w:bCs/>
              </w:rPr>
              <w:t>40,02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Итого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840,47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840,47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528,56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Стоимость вывозки  дров без ГСМ, в т.ч.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2.1.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Заработная плата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  <w:lang w:val="en-US"/>
              </w:rPr>
              <w:t>71</w:t>
            </w:r>
            <w:r w:rsidRPr="000C7522">
              <w:rPr>
                <w:bCs/>
              </w:rPr>
              <w:t>,31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2.2.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Отчисления (30,2%)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21,54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2.3.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 xml:space="preserve">Амортизация 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102,74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2.4.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НДС (18%)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35,21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2.5.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Прибыль (5%)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11,54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Итого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242,34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242,34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152,42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ГСМ на 1 км, в т. ч. 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3.1.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ГСМ на 1 км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2,</w:t>
            </w:r>
            <w:r>
              <w:rPr>
                <w:bCs/>
              </w:rPr>
              <w:t>97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3.2.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НДС (18%)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0,</w:t>
            </w:r>
            <w:r>
              <w:rPr>
                <w:bCs/>
              </w:rPr>
              <w:t>53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3.3.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Прибыль (5%)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0,1</w:t>
            </w:r>
            <w:r>
              <w:rPr>
                <w:bCs/>
              </w:rPr>
              <w:t>8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Итого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3,</w:t>
            </w:r>
            <w:r>
              <w:rPr>
                <w:b/>
                <w:bCs/>
              </w:rPr>
              <w:t>68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3,</w:t>
            </w:r>
            <w:r>
              <w:rPr>
                <w:b/>
                <w:bCs/>
              </w:rPr>
              <w:t>68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2,</w:t>
            </w:r>
            <w:r>
              <w:rPr>
                <w:b/>
                <w:bCs/>
              </w:rPr>
              <w:t>31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Всего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2027D" w:rsidRDefault="008F4ED9" w:rsidP="0083530B">
            <w:pPr>
              <w:jc w:val="center"/>
              <w:rPr>
                <w:bCs/>
              </w:rPr>
            </w:pPr>
            <w:r w:rsidRPr="0002027D">
              <w:rPr>
                <w:bCs/>
              </w:rPr>
              <w:t>108</w:t>
            </w:r>
            <w:r>
              <w:rPr>
                <w:bCs/>
              </w:rPr>
              <w:t>6</w:t>
            </w:r>
            <w:r w:rsidRPr="0002027D">
              <w:rPr>
                <w:bCs/>
              </w:rPr>
              <w:t>,4</w:t>
            </w:r>
            <w:r>
              <w:rPr>
                <w:bCs/>
              </w:rPr>
              <w:t>3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Всего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68</w:t>
            </w:r>
            <w:r>
              <w:rPr>
                <w:b/>
                <w:bCs/>
              </w:rPr>
              <w:t>3</w:t>
            </w:r>
            <w:r w:rsidRPr="000C7522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Pr="000C7522">
              <w:rPr>
                <w:b/>
                <w:bCs/>
              </w:rPr>
              <w:t>9</w:t>
            </w:r>
          </w:p>
        </w:tc>
      </w:tr>
    </w:tbl>
    <w:p w:rsidR="008F4ED9" w:rsidRPr="00CF2CD8" w:rsidRDefault="008F4ED9" w:rsidP="008F4ED9">
      <w:pPr>
        <w:rPr>
          <w:bCs/>
        </w:rPr>
      </w:pPr>
    </w:p>
    <w:p w:rsidR="008F4ED9" w:rsidRDefault="008F4ED9" w:rsidP="008F4ED9">
      <w:pPr>
        <w:rPr>
          <w:bCs/>
        </w:rPr>
      </w:pPr>
    </w:p>
    <w:p w:rsidR="007956BF" w:rsidRPr="007956BF" w:rsidRDefault="008F4ED9" w:rsidP="008F4ED9">
      <w:pPr>
        <w:ind w:left="-142"/>
        <w:rPr>
          <w:sz w:val="26"/>
          <w:szCs w:val="26"/>
        </w:rPr>
      </w:pPr>
      <w:r w:rsidRPr="00B071F6">
        <w:rPr>
          <w:bCs/>
        </w:rPr>
        <w:t>Примечание:</w:t>
      </w:r>
      <w:r w:rsidRPr="004868BB">
        <w:rPr>
          <w:bCs/>
        </w:rPr>
        <w:t xml:space="preserve"> </w:t>
      </w:r>
      <w:r w:rsidRPr="00B071F6">
        <w:t xml:space="preserve">Применен коэффициент перевода из плотного состояния в </w:t>
      </w:r>
      <w:proofErr w:type="gramStart"/>
      <w:r w:rsidRPr="00B071F6">
        <w:t>складочное</w:t>
      </w:r>
      <w:proofErr w:type="gramEnd"/>
      <w:r w:rsidRPr="00B071F6">
        <w:t xml:space="preserve"> 1,59</w:t>
      </w:r>
    </w:p>
    <w:p w:rsidR="007956BF" w:rsidRPr="007956BF" w:rsidRDefault="007956BF" w:rsidP="007956BF">
      <w:pPr>
        <w:rPr>
          <w:sz w:val="26"/>
          <w:szCs w:val="26"/>
        </w:rPr>
      </w:pPr>
    </w:p>
    <w:p w:rsidR="00F81150" w:rsidRPr="008F4ED9" w:rsidRDefault="007956BF" w:rsidP="008F4ED9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sectPr w:rsidR="00F81150" w:rsidRPr="008F4ED9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BA" w:rsidRDefault="00C21DBA">
      <w:r>
        <w:separator/>
      </w:r>
    </w:p>
  </w:endnote>
  <w:endnote w:type="continuationSeparator" w:id="0">
    <w:p w:rsidR="00C21DBA" w:rsidRDefault="00C2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C21D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BA" w:rsidRDefault="00C21DBA">
      <w:r>
        <w:separator/>
      </w:r>
    </w:p>
  </w:footnote>
  <w:footnote w:type="continuationSeparator" w:id="0">
    <w:p w:rsidR="00C21DBA" w:rsidRDefault="00C21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E5FC0"/>
    <w:rsid w:val="001119E0"/>
    <w:rsid w:val="00137DFC"/>
    <w:rsid w:val="001408BE"/>
    <w:rsid w:val="002A4805"/>
    <w:rsid w:val="00303FDE"/>
    <w:rsid w:val="00365FB1"/>
    <w:rsid w:val="003663F1"/>
    <w:rsid w:val="003813AF"/>
    <w:rsid w:val="003C36B7"/>
    <w:rsid w:val="003C39CF"/>
    <w:rsid w:val="004A1313"/>
    <w:rsid w:val="00593159"/>
    <w:rsid w:val="006E0AF9"/>
    <w:rsid w:val="006F20CE"/>
    <w:rsid w:val="007648E8"/>
    <w:rsid w:val="007956BF"/>
    <w:rsid w:val="00821AC5"/>
    <w:rsid w:val="008644DD"/>
    <w:rsid w:val="00870392"/>
    <w:rsid w:val="008E7F38"/>
    <w:rsid w:val="008F4ED9"/>
    <w:rsid w:val="00927A6A"/>
    <w:rsid w:val="009B03FD"/>
    <w:rsid w:val="009D4183"/>
    <w:rsid w:val="009E6DE9"/>
    <w:rsid w:val="00A5418B"/>
    <w:rsid w:val="00B07A14"/>
    <w:rsid w:val="00BD2FDD"/>
    <w:rsid w:val="00C21DBA"/>
    <w:rsid w:val="00C26DE9"/>
    <w:rsid w:val="00C9220E"/>
    <w:rsid w:val="00DE4A98"/>
    <w:rsid w:val="00DF1513"/>
    <w:rsid w:val="00E071F7"/>
    <w:rsid w:val="00F024D6"/>
    <w:rsid w:val="00F27FFA"/>
    <w:rsid w:val="00F55686"/>
    <w:rsid w:val="00F64159"/>
    <w:rsid w:val="00F6752E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Title"/>
    <w:basedOn w:val="a"/>
    <w:link w:val="aa"/>
    <w:qFormat/>
    <w:rsid w:val="008F4ED9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8F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Title"/>
    <w:basedOn w:val="a"/>
    <w:link w:val="aa"/>
    <w:qFormat/>
    <w:rsid w:val="008F4ED9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8F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4</cp:revision>
  <cp:lastPrinted>2015-12-29T07:13:00Z</cp:lastPrinted>
  <dcterms:created xsi:type="dcterms:W3CDTF">2015-12-28T01:07:00Z</dcterms:created>
  <dcterms:modified xsi:type="dcterms:W3CDTF">2015-12-29T07:14:00Z</dcterms:modified>
</cp:coreProperties>
</file>